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Lesson</w:t>
      </w:r>
      <w:r>
        <w:t xml:space="preserve"> </w:t>
      </w:r>
      <w:r>
        <w:t xml:space="preserve">19:</w:t>
      </w:r>
      <w:r>
        <w:t xml:space="preserve"> </w:t>
      </w:r>
      <w:r>
        <w:t xml:space="preserve">Inference</w:t>
      </w:r>
      <w:r>
        <w:t xml:space="preserve"> </w:t>
      </w:r>
      <w:r>
        <w:t xml:space="preserve">for</w:t>
      </w:r>
      <w:r>
        <w:t xml:space="preserve"> </w:t>
      </w:r>
      <w:r>
        <w:t xml:space="preserve">Several</w:t>
      </w:r>
      <w:r>
        <w:t xml:space="preserve"> </w:t>
      </w:r>
      <w:r>
        <w:t xml:space="preserve">Proportions,</w:t>
      </w:r>
      <w:r>
        <w:t xml:space="preserve"> </w:t>
      </w:r>
      <w:r>
        <w:t xml:space="preserve">Goodness-of-Fit,</w:t>
      </w:r>
      <w:r>
        <w:t xml:space="preserve"> </w:t>
      </w:r>
      <w:r>
        <w:t xml:space="preserve">and</w:t>
      </w:r>
      <w:r>
        <w:t xml:space="preserve"> </w:t>
      </w:r>
      <w:r>
        <w:t xml:space="preserve">Independence</w:t>
      </w:r>
    </w:p>
    <w:p>
      <w:pPr>
        <w:pStyle w:val="Author"/>
      </w:pPr>
      <w:r>
        <w:t xml:space="preserve">Preparation</w:t>
      </w:r>
    </w:p>
    <w:p>
      <w:pPr>
        <w:pStyle w:val="Heading2"/>
      </w:pPr>
      <w:bookmarkStart w:id="21" w:name="solutions"/>
      <w:bookmarkEnd w:id="21"/>
      <w:r>
        <w:t xml:space="preserve">Solutions</w:t>
      </w:r>
    </w:p>
    <w:p>
      <w:pPr>
        <w:pStyle w:val="FirstParagraph"/>
      </w:pPr>
      <w:r>
        <w:rPr>
          <w:b/>
        </w:rPr>
        <w:t xml:space="preserve">Please note that the steps show rounded numbers, but that the final answers to the problems are calculated without rounding.</w:t>
      </w:r>
      <w:r>
        <w:t xml:space="preserve">--&gt;## Solutions</w:t>
      </w:r>
    </w:p>
    <w:tbl>
      <w:tblPr>
        <w:tblStyle w:val="TableNormal"/>
        <w:tblW w:type="pct" w:w="5000.0"/>
        <w:tblLook w:firstRow="1"/>
      </w:tblPr>
      <w:tblGrid>
        <w:gridCol w:w="825"/>
        <w:gridCol w:w="577"/>
        <w:gridCol w:w="6517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center"/>
            </w:pPr>
            <w:r>
              <w:t xml:space="preserve">Problem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Part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Solution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sSub>
                <m:e>
                  <m:r>
                    <m:rPr/>
                    <m:t>H</m:t>
                  </m:r>
                </m:e>
                <m:sub>
                  <m:r>
                    <m:rPr/>
                    <m:t>0</m:t>
                  </m:r>
                </m:sub>
              </m:sSub>
              <m:r>
                <m:rPr/>
                <m:t>:</m:t>
              </m:r>
              <m:r>
                <m:rPr>
                  <m:sty m:val="p"/>
                </m:rPr>
                <m:t> The row variable and the column variable are independent</m:t>
              </m:r>
            </m:oMath>
            <w:r>
              <w:br w:type="textWrapping"/>
            </w:r>
            <m:oMath>
              <m:sSub>
                <m:e>
                  <m:r>
                    <m:rPr/>
                    <m:t>H</m:t>
                  </m:r>
                </m:e>
                <m:sub>
                  <m:r>
                    <m:rPr/>
                    <m:t>a</m:t>
                  </m:r>
                </m:sub>
              </m:sSub>
              <m:r>
                <m:rPr/>
                <m:t>:</m:t>
              </m:r>
              <m:r>
                <m:rPr>
                  <m:sty m:val="p"/>
                </m:rPr>
                <m:t> The row variable and the column variable are not independent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True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p>
            <w:pPr>
              <w:pStyle w:val="Compact"/>
              <w:jc w:val="left"/>
            </w:pPr>
            <m:oMath>
              <m:sSub>
                <m:e>
                  <m:r>
                    <m:rPr/>
                    <m:t>H</m:t>
                  </m:r>
                </m:e>
                <m:sub>
                  <m:r>
                    <m:rPr/>
                    <m:t>0</m:t>
                  </m:r>
                </m:sub>
              </m:sSub>
              <m:r>
                <m:rPr/>
                <m:t>:</m:t>
              </m:r>
              <m:r>
                <m:rPr>
                  <m:sty m:val="p"/>
                </m:rPr>
                <m:t> Party affiliation and whether they were in favor or against Prop 8
are independent</m:t>
              </m:r>
            </m:oMath>
            <w:r>
              <w:br w:type="textWrapping"/>
            </w:r>
            <m:oMath>
              <m:sSub>
                <m:e>
                  <m:r>
                    <m:rPr/>
                    <m:t>H</m:t>
                  </m:r>
                </m:e>
                <m:sub>
                  <m:r>
                    <m:rPr/>
                    <m:t>a</m:t>
                  </m:r>
                </m:sub>
              </m:sSub>
              <m:r>
                <m:rPr/>
                <m:t>:</m:t>
              </m:r>
              <m:r>
                <m:rPr>
                  <m:sty m:val="p"/>
                </m:rPr>
                <m:t> Party affiliation and whether they were in favor or against Prop 8
are not independent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p>
            <w:pPr>
              <w:pStyle w:val="Compact"/>
              <w:jc w:val="left"/>
            </w:pPr>
            <w:r>
              <w:t xml:space="preserve">That all expected cell counts are greater than 5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p>
            <w:pPr>
              <w:pStyle w:val="Compact"/>
              <w:jc w:val="left"/>
            </w:pPr>
            <w:r>
              <w:t xml:space="preserve">The requirements are met because all expected counts are greater than or equal</w:t>
            </w:r>
            <w:r>
              <w:t xml:space="preserve"> </w:t>
            </w:r>
            <w:r>
              <w:t xml:space="preserve">to five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D</w:t>
            </w:r>
          </w:p>
        </w:tc>
        <w:tc>
          <w:p>
            <w:pPr>
              <w:pStyle w:val="Compact"/>
              <w:jc w:val="left"/>
            </w:pPr>
            <m:oMath>
              <m:sSup>
                <m:e>
                  <m:r>
                    <m:rPr/>
                    <m:t>χ</m:t>
                  </m:r>
                </m:e>
                <m:sup>
                  <m:r>
                    <m:rPr/>
                    <m:t>2</m:t>
                  </m:r>
                </m:sup>
              </m:sSup>
              <m:r>
                <m:rPr/>
                <m:t>=</m:t>
              </m:r>
              <m:r>
                <m:rPr/>
                <m:t>33.96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E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d</m:t>
              </m:r>
              <m:r>
                <m:rPr/>
                <m:t>f</m:t>
              </m:r>
              <m:r>
                <m:rPr/>
                <m:t>=</m:t>
              </m:r>
              <m:r>
                <m:rPr/>
                <m:t>1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F</w:t>
            </w:r>
          </w:p>
        </w:tc>
        <w:tc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P-value</m:t>
              </m:r>
              <m:r>
                <m:rPr/>
                <m:t>=</m:t>
              </m:r>
              <m:r>
                <m:rPr/>
                <m:t>0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G</w:t>
            </w:r>
          </w:p>
        </w:tc>
        <w:tc>
          <w:p>
            <w:pPr>
              <w:pStyle w:val="Compact"/>
              <w:jc w:val="left"/>
            </w:pPr>
            <w:r>
              <w:t xml:space="preserve">reject the null hypothesis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H</w:t>
            </w:r>
          </w:p>
        </w:tc>
        <w:tc>
          <w:p>
            <w:pPr>
              <w:pStyle w:val="Compact"/>
              <w:jc w:val="left"/>
            </w:pPr>
            <w:r>
              <w:t xml:space="preserve">We have sufficient evidence to show that the party affiliation and the voters'</w:t>
            </w:r>
            <w:r>
              <w:t xml:space="preserve"> </w:t>
            </w:r>
            <w:r>
              <w:t xml:space="preserve">views on Proposition 8 are not independent.</w:t>
            </w:r>
          </w:p>
        </w:tc>
      </w:tr>
    </w:tbl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16d4049f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19: Inference for Several Proportions, Goodness-of-Fit, and Independence</dc:title>
  <dc:creator>Preparation</dc:creator>
</cp:coreProperties>
</file>